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napToGrid w:val="0"/>
        <w:spacing w:line="600" w:lineRule="exact"/>
        <w:jc w:val="left"/>
        <w:rPr>
          <w:rFonts w:eastAsia="方正小标宋_GBK"/>
          <w:szCs w:val="32"/>
        </w:rPr>
      </w:pPr>
      <w:r>
        <w:rPr>
          <w:rFonts w:hint="eastAsia" w:eastAsia="方正小标宋_GBK"/>
          <w:szCs w:val="32"/>
        </w:rPr>
        <w:t>HNPR—2025—01018</w:t>
      </w:r>
    </w:p>
    <w:p>
      <w:pPr>
        <w:pStyle w:val="7"/>
        <w:overflowPunct w:val="0"/>
        <w:adjustRightInd w:val="0"/>
        <w:snapToGrid w:val="0"/>
        <w:spacing w:after="0" w:line="600" w:lineRule="exact"/>
        <w:ind w:left="640" w:firstLine="640"/>
        <w:rPr>
          <w:rFonts w:ascii="宋体" w:hAnsi="宋体" w:eastAsia="仿宋_GB2312" w:cs="仿宋_GB2312"/>
          <w:szCs w:val="32"/>
        </w:rPr>
      </w:pPr>
    </w:p>
    <w:p>
      <w:pPr>
        <w:pStyle w:val="25"/>
        <w:autoSpaceDN w:val="0"/>
        <w:snapToGrid w:val="0"/>
        <w:spacing w:line="600" w:lineRule="atLeast"/>
        <w:rPr>
          <w:rFonts w:ascii="Times New Roman" w:hAnsi="Times New Roman" w:cs="Times New Roman"/>
          <w:sz w:val="36"/>
          <w:szCs w:val="36"/>
        </w:rPr>
      </w:pPr>
    </w:p>
    <w:p>
      <w:pPr>
        <w:pStyle w:val="25"/>
        <w:autoSpaceDN w:val="0"/>
        <w:snapToGrid w:val="0"/>
        <w:spacing w:line="600" w:lineRule="atLeas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湖南省人民政府办公厅</w:t>
      </w:r>
    </w:p>
    <w:p>
      <w:pPr>
        <w:pStyle w:val="25"/>
        <w:autoSpaceDN w:val="0"/>
        <w:snapToGrid w:val="0"/>
        <w:spacing w:line="600" w:lineRule="atLeas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关于印发《支持益阳市高端电子元器件产业</w:t>
      </w:r>
    </w:p>
    <w:p>
      <w:pPr>
        <w:pStyle w:val="25"/>
        <w:autoSpaceDN w:val="0"/>
        <w:snapToGrid w:val="0"/>
        <w:spacing w:line="600" w:lineRule="atLeast"/>
        <w:jc w:val="center"/>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高质量发展的若干措施》的通知</w:t>
      </w:r>
    </w:p>
    <w:p>
      <w:pPr>
        <w:pStyle w:val="25"/>
        <w:autoSpaceDN w:val="0"/>
        <w:snapToGrid w:val="0"/>
        <w:spacing w:line="600" w:lineRule="atLeas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湘政办发〔2025〕36号</w:t>
      </w:r>
    </w:p>
    <w:p>
      <w:pPr>
        <w:pStyle w:val="25"/>
        <w:autoSpaceDN w:val="0"/>
        <w:snapToGrid w:val="0"/>
        <w:spacing w:line="600" w:lineRule="atLeast"/>
        <w:rPr>
          <w:rFonts w:ascii="Times New Roman" w:hAnsi="Times New Roman" w:cs="Times New Roman"/>
          <w:sz w:val="36"/>
          <w:szCs w:val="36"/>
        </w:rPr>
      </w:pPr>
    </w:p>
    <w:p>
      <w:pPr>
        <w:pStyle w:val="25"/>
        <w:autoSpaceDN w:val="0"/>
        <w:snapToGrid w:val="0"/>
        <w:spacing w:line="60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各市州、县市区人民政府，省政府各厅委、各直属机构：</w:t>
      </w:r>
    </w:p>
    <w:p>
      <w:pPr>
        <w:pStyle w:val="25"/>
        <w:autoSpaceDN w:val="0"/>
        <w:snapToGrid w:val="0"/>
        <w:spacing w:line="600" w:lineRule="exact"/>
        <w:ind w:firstLine="720"/>
        <w:rPr>
          <w:rFonts w:ascii="仿宋_GB2312" w:hAnsi="Times New Roman" w:eastAsia="仿宋_GB2312" w:cs="Times New Roman"/>
          <w:sz w:val="32"/>
          <w:szCs w:val="32"/>
        </w:rPr>
      </w:pPr>
      <w:r>
        <w:rPr>
          <w:rFonts w:hint="eastAsia" w:ascii="仿宋_GB2312" w:hAnsi="Times New Roman" w:eastAsia="仿宋_GB2312" w:cs="Times New Roman"/>
          <w:sz w:val="32"/>
          <w:szCs w:val="32"/>
        </w:rPr>
        <w:t>《支持益阳市高端电子元器件产业高质量发展的若干措施》已经省人民政府同意，现印发给你们，请结合实际认真贯彻落实。</w:t>
      </w:r>
    </w:p>
    <w:p>
      <w:pPr>
        <w:pStyle w:val="25"/>
        <w:autoSpaceDN w:val="0"/>
        <w:snapToGrid w:val="0"/>
        <w:spacing w:line="600" w:lineRule="exact"/>
        <w:rPr>
          <w:rFonts w:ascii="仿宋_GB2312" w:hAnsi="Times New Roman" w:eastAsia="仿宋_GB2312" w:cs="Times New Roman"/>
          <w:sz w:val="32"/>
          <w:szCs w:val="32"/>
        </w:rPr>
      </w:pPr>
    </w:p>
    <w:p>
      <w:pPr>
        <w:pStyle w:val="25"/>
        <w:autoSpaceDN w:val="0"/>
        <w:snapToGrid w:val="0"/>
        <w:spacing w:line="600" w:lineRule="exact"/>
        <w:rPr>
          <w:rFonts w:ascii="仿宋_GB2312" w:hAnsi="Times New Roman" w:eastAsia="仿宋_GB2312" w:cs="Times New Roman"/>
          <w:sz w:val="32"/>
          <w:szCs w:val="32"/>
        </w:rPr>
      </w:pPr>
    </w:p>
    <w:p>
      <w:pPr>
        <w:pStyle w:val="25"/>
        <w:autoSpaceDN w:val="0"/>
        <w:snapToGrid w:val="0"/>
        <w:spacing w:line="600" w:lineRule="exact"/>
        <w:rPr>
          <w:rFonts w:ascii="仿宋_GB2312" w:hAnsi="Times New Roman" w:eastAsia="仿宋_GB2312" w:cs="Times New Roman"/>
          <w:sz w:val="32"/>
          <w:szCs w:val="32"/>
        </w:rPr>
      </w:pPr>
    </w:p>
    <w:p>
      <w:pPr>
        <w:pStyle w:val="25"/>
        <w:autoSpaceDN w:val="0"/>
        <w:snapToGrid w:val="0"/>
        <w:spacing w:line="60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湖南省人民政府办公厅</w:t>
      </w:r>
    </w:p>
    <w:p>
      <w:pPr>
        <w:pStyle w:val="25"/>
        <w:autoSpaceDN w:val="0"/>
        <w:snapToGrid w:val="0"/>
        <w:spacing w:line="60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2025年9月22日</w:t>
      </w:r>
    </w:p>
    <w:p>
      <w:pPr>
        <w:pStyle w:val="25"/>
        <w:autoSpaceDN w:val="0"/>
        <w:snapToGrid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（此件主动公开）</w:t>
      </w:r>
    </w:p>
    <w:p>
      <w:pPr>
        <w:pStyle w:val="25"/>
        <w:autoSpaceDN w:val="0"/>
        <w:snapToGrid w:val="0"/>
        <w:spacing w:line="600" w:lineRule="exact"/>
        <w:rPr>
          <w:rFonts w:ascii="仿宋_GB2312" w:hAnsi="Times New Roman" w:eastAsia="仿宋_GB2312" w:cs="Times New Roman"/>
          <w:sz w:val="32"/>
          <w:szCs w:val="32"/>
        </w:rPr>
      </w:pPr>
    </w:p>
    <w:p>
      <w:pPr>
        <w:pStyle w:val="25"/>
        <w:autoSpaceDN w:val="0"/>
        <w:snapToGrid w:val="0"/>
        <w:spacing w:line="600" w:lineRule="exact"/>
        <w:rPr>
          <w:rFonts w:ascii="仿宋_GB2312" w:hAnsi="Times New Roman" w:eastAsia="仿宋_GB2312" w:cs="Times New Roman"/>
          <w:sz w:val="32"/>
          <w:szCs w:val="32"/>
        </w:rPr>
      </w:pPr>
    </w:p>
    <w:p>
      <w:pPr>
        <w:pStyle w:val="25"/>
        <w:autoSpaceDN w:val="0"/>
        <w:snapToGrid w:val="0"/>
        <w:spacing w:line="600" w:lineRule="exact"/>
        <w:rPr>
          <w:rFonts w:ascii="仿宋_GB2312" w:hAnsi="Times New Roman" w:eastAsia="仿宋_GB2312" w:cs="Times New Roman"/>
          <w:sz w:val="32"/>
          <w:szCs w:val="32"/>
        </w:rPr>
      </w:pPr>
    </w:p>
    <w:p>
      <w:pPr>
        <w:pStyle w:val="25"/>
        <w:autoSpaceDN w:val="0"/>
        <w:snapToGrid w:val="0"/>
        <w:spacing w:line="600" w:lineRule="exact"/>
        <w:rPr>
          <w:rFonts w:ascii="仿宋_GB2312" w:hAnsi="Times New Roman" w:eastAsia="仿宋_GB2312" w:cs="Times New Roman"/>
          <w:sz w:val="32"/>
          <w:szCs w:val="32"/>
        </w:rPr>
      </w:pPr>
    </w:p>
    <w:p>
      <w:pPr>
        <w:pStyle w:val="25"/>
        <w:autoSpaceDN w:val="0"/>
        <w:snapToGrid w:val="0"/>
        <w:spacing w:line="600" w:lineRule="exact"/>
        <w:rPr>
          <w:rFonts w:ascii="仿宋_GB2312" w:hAnsi="Times New Roman" w:eastAsia="仿宋_GB2312" w:cs="Times New Roman"/>
          <w:sz w:val="32"/>
          <w:szCs w:val="32"/>
        </w:rPr>
      </w:pPr>
    </w:p>
    <w:p>
      <w:pPr>
        <w:pStyle w:val="25"/>
        <w:autoSpaceDN w:val="0"/>
        <w:snapToGrid w:val="0"/>
        <w:spacing w:line="600" w:lineRule="exact"/>
        <w:rPr>
          <w:rFonts w:ascii="仿宋_GB2312" w:hAnsi="Times New Roman" w:eastAsia="仿宋_GB2312" w:cs="Times New Roman"/>
          <w:sz w:val="32"/>
          <w:szCs w:val="32"/>
        </w:rPr>
      </w:pPr>
    </w:p>
    <w:p>
      <w:pPr>
        <w:pStyle w:val="25"/>
        <w:autoSpaceDN w:val="0"/>
        <w:snapToGrid w:val="0"/>
        <w:spacing w:line="60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支持益阳市高端电子元器件产业</w:t>
      </w:r>
    </w:p>
    <w:p>
      <w:pPr>
        <w:pStyle w:val="25"/>
        <w:autoSpaceDN w:val="0"/>
        <w:snapToGrid w:val="0"/>
        <w:spacing w:line="60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高质量发展的若干措施</w:t>
      </w:r>
    </w:p>
    <w:p>
      <w:pPr>
        <w:pStyle w:val="25"/>
        <w:autoSpaceDN w:val="0"/>
        <w:snapToGrid w:val="0"/>
        <w:spacing w:line="600" w:lineRule="exact"/>
        <w:rPr>
          <w:rFonts w:ascii="仿宋_GB2312" w:hAnsi="Times New Roman" w:eastAsia="仿宋_GB2312" w:cs="Times New Roman"/>
          <w:sz w:val="32"/>
          <w:szCs w:val="32"/>
        </w:rPr>
      </w:pPr>
    </w:p>
    <w:p>
      <w:pPr>
        <w:pStyle w:val="25"/>
        <w:autoSpaceDN w:val="0"/>
        <w:snapToGrid w:val="0"/>
        <w:spacing w:line="600" w:lineRule="exact"/>
        <w:ind w:firstLine="72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为深入贯彻党的二十大和二十届二中、三中全会精神，全面落实习近平总书记关于湖南工作的重要讲话和指示批示精神，按照省委十二届七次、八次全会部署，因地制宜培育和发展新质生产力，持续用力打造“</w:t>
      </w:r>
      <w:r>
        <w:rPr>
          <w:rFonts w:hint="eastAsia" w:ascii="仿宋_GB2312" w:hAnsi="仿宋" w:eastAsia="仿宋_GB2312" w:cs="Times New Roman"/>
          <w:sz w:val="32"/>
          <w:szCs w:val="32"/>
        </w:rPr>
        <w:t>三个高地</w:t>
      </w:r>
      <w:r>
        <w:rPr>
          <w:rFonts w:hint="eastAsia" w:ascii="仿宋_GB2312" w:hAnsi="Times New Roman" w:eastAsia="仿宋_GB2312" w:cs="Times New Roman"/>
          <w:sz w:val="32"/>
          <w:szCs w:val="32"/>
        </w:rPr>
        <w:t>”</w:t>
      </w:r>
      <w:r>
        <w:rPr>
          <w:rFonts w:hint="eastAsia" w:ascii="仿宋_GB2312" w:hAnsi="仿宋" w:eastAsia="仿宋_GB2312" w:cs="Times New Roman"/>
          <w:sz w:val="32"/>
          <w:szCs w:val="32"/>
        </w:rPr>
        <w:t>，推进益阳市高端电子元器件产业高质量发展，制定以下措施。</w:t>
      </w:r>
    </w:p>
    <w:p>
      <w:pPr>
        <w:pStyle w:val="25"/>
        <w:autoSpaceDN w:val="0"/>
        <w:snapToGrid w:val="0"/>
        <w:spacing w:line="600" w:lineRule="exact"/>
        <w:ind w:firstLine="720"/>
        <w:rPr>
          <w:rFonts w:ascii="黑体" w:hAnsi="黑体" w:eastAsia="黑体" w:cs="Times New Roman"/>
          <w:sz w:val="32"/>
          <w:szCs w:val="32"/>
        </w:rPr>
      </w:pPr>
      <w:r>
        <w:rPr>
          <w:rFonts w:hint="eastAsia" w:ascii="黑体" w:hAnsi="黑体" w:eastAsia="黑体" w:cs="Times New Roman"/>
          <w:sz w:val="32"/>
          <w:szCs w:val="32"/>
        </w:rPr>
        <w:t>一、优化产业布局</w:t>
      </w:r>
    </w:p>
    <w:p>
      <w:pPr>
        <w:pStyle w:val="25"/>
        <w:autoSpaceDN w:val="0"/>
        <w:snapToGrid w:val="0"/>
        <w:spacing w:line="600" w:lineRule="exact"/>
        <w:ind w:firstLine="720"/>
        <w:rPr>
          <w:rFonts w:hint="eastAsia" w:ascii="楷体_GB2312" w:hAnsi="Times New Roman" w:eastAsia="楷体_GB2312" w:cs="Times New Roman"/>
          <w:sz w:val="32"/>
          <w:szCs w:val="32"/>
        </w:rPr>
      </w:pPr>
      <w:r>
        <w:rPr>
          <w:rFonts w:hint="eastAsia" w:ascii="仿宋_GB2312" w:hAnsi="Times New Roman" w:eastAsia="仿宋_GB2312" w:cs="Times New Roman"/>
          <w:sz w:val="32"/>
          <w:szCs w:val="32"/>
        </w:rPr>
        <w:t>将益阳市高端电子元器件产业纳入全省重点产业规划，推动高端电子元器件产业项目、技术、成果向益阳市聚集。重点支持高多层板、高阶HDI</w:t>
      </w:r>
      <w:r>
        <w:rPr>
          <w:rFonts w:hint="eastAsia" w:ascii="仿宋_GB2312" w:hAnsi="仿宋" w:eastAsia="仿宋_GB2312" w:cs="Times New Roman"/>
          <w:sz w:val="32"/>
          <w:szCs w:val="32"/>
        </w:rPr>
        <w:t>板、封装基板、柔性及刚柔结合板等</w:t>
      </w:r>
      <w:r>
        <w:rPr>
          <w:rFonts w:hint="eastAsia" w:ascii="仿宋_GB2312" w:hAnsi="Times New Roman" w:eastAsia="仿宋_GB2312" w:cs="Times New Roman"/>
          <w:sz w:val="32"/>
          <w:szCs w:val="32"/>
        </w:rPr>
        <w:t>PCB</w:t>
      </w:r>
      <w:r>
        <w:rPr>
          <w:rFonts w:hint="eastAsia" w:ascii="仿宋_GB2312" w:hAnsi="仿宋" w:eastAsia="仿宋_GB2312" w:cs="Times New Roman"/>
          <w:sz w:val="32"/>
          <w:szCs w:val="32"/>
        </w:rPr>
        <w:t>产业以及多层片式陶瓷电容器（</w:t>
      </w:r>
      <w:r>
        <w:rPr>
          <w:rFonts w:hint="eastAsia" w:ascii="仿宋_GB2312" w:hAnsi="Times New Roman" w:eastAsia="仿宋_GB2312" w:cs="Times New Roman"/>
          <w:sz w:val="32"/>
          <w:szCs w:val="32"/>
        </w:rPr>
        <w:t>MLCC</w:t>
      </w:r>
      <w:r>
        <w:rPr>
          <w:rFonts w:hint="eastAsia" w:ascii="仿宋_GB2312" w:hAnsi="仿宋" w:eastAsia="仿宋_GB2312" w:cs="Times New Roman"/>
          <w:sz w:val="32"/>
          <w:szCs w:val="32"/>
        </w:rPr>
        <w:t>）、高端铝电解电容器、薄膜电容器等电容器产业发展，打造湖南省高端电子元器件相关产业的重要</w:t>
      </w:r>
      <w:r>
        <w:rPr>
          <w:rFonts w:hint="eastAsia" w:ascii="仿宋_GB2312" w:hAnsi="Times New Roman" w:eastAsia="仿宋_GB2312" w:cs="Times New Roman"/>
          <w:sz w:val="32"/>
          <w:szCs w:val="32"/>
        </w:rPr>
        <w:t>集聚区。支持益阳市PCB</w:t>
      </w:r>
      <w:r>
        <w:rPr>
          <w:rFonts w:hint="eastAsia" w:ascii="仿宋_GB2312" w:hAnsi="仿宋" w:eastAsia="仿宋_GB2312" w:cs="Times New Roman"/>
          <w:sz w:val="32"/>
          <w:szCs w:val="32"/>
        </w:rPr>
        <w:t>产业争创国家级中小企业特色产业集群。</w:t>
      </w:r>
      <w:r>
        <w:rPr>
          <w:rFonts w:hint="eastAsia" w:ascii="楷体_GB2312" w:hAnsi="Times New Roman" w:eastAsia="楷体_GB2312" w:cs="Times New Roman"/>
          <w:sz w:val="32"/>
          <w:szCs w:val="32"/>
        </w:rPr>
        <w:t>（省工业和信息化厅、省发展改革委、省科技厅、省财政厅、省商务厅等按职责分工负责）</w:t>
      </w:r>
    </w:p>
    <w:p>
      <w:pPr>
        <w:pStyle w:val="25"/>
        <w:autoSpaceDN w:val="0"/>
        <w:snapToGrid w:val="0"/>
        <w:spacing w:line="600" w:lineRule="exact"/>
        <w:ind w:firstLine="720"/>
        <w:rPr>
          <w:rFonts w:ascii="黑体" w:hAnsi="黑体" w:eastAsia="黑体" w:cs="Times New Roman"/>
          <w:sz w:val="32"/>
          <w:szCs w:val="32"/>
        </w:rPr>
      </w:pPr>
      <w:r>
        <w:rPr>
          <w:rFonts w:hint="eastAsia" w:ascii="黑体" w:hAnsi="黑体" w:eastAsia="黑体" w:cs="Times New Roman"/>
          <w:sz w:val="32"/>
          <w:szCs w:val="32"/>
        </w:rPr>
        <w:t>二、支持科技创新</w:t>
      </w:r>
    </w:p>
    <w:p>
      <w:pPr>
        <w:pStyle w:val="25"/>
        <w:autoSpaceDN w:val="0"/>
        <w:snapToGrid w:val="0"/>
        <w:spacing w:line="600" w:lineRule="exact"/>
        <w:ind w:firstLine="720"/>
        <w:rPr>
          <w:rFonts w:ascii="楷体_GB2312" w:hAnsi="Times New Roman" w:eastAsia="楷体_GB2312" w:cs="Times New Roman"/>
          <w:sz w:val="32"/>
          <w:szCs w:val="32"/>
        </w:rPr>
      </w:pPr>
      <w:r>
        <w:rPr>
          <w:rFonts w:hint="eastAsia" w:ascii="仿宋_GB2312" w:hAnsi="Times New Roman" w:eastAsia="仿宋_GB2312" w:cs="Times New Roman"/>
          <w:sz w:val="32"/>
          <w:szCs w:val="32"/>
        </w:rPr>
        <w:t>支持益阳市各类创新主体积极承接国家级、省级高端电子元器件领域重大科技项目或课题，开展基础研究、应用基础研究和关键核心技术攻关。支持开展高端多层片式陶瓷电容器（MLCC</w:t>
      </w:r>
      <w:r>
        <w:rPr>
          <w:rFonts w:hint="eastAsia" w:ascii="仿宋_GB2312" w:hAnsi="仿宋" w:eastAsia="仿宋_GB2312" w:cs="Times New Roman"/>
          <w:sz w:val="32"/>
          <w:szCs w:val="32"/>
        </w:rPr>
        <w:t>）新技术研发</w:t>
      </w:r>
      <w:r>
        <w:rPr>
          <w:rFonts w:hint="eastAsia" w:ascii="仿宋_GB2312" w:hAnsi="Times New Roman" w:eastAsia="仿宋_GB2312" w:cs="Times New Roman"/>
          <w:sz w:val="32"/>
          <w:szCs w:val="32"/>
        </w:rPr>
        <w:t>。支持益阳市申报建设国家电容器产品质量检验中心。鼓励企业主导或参与制定国家标准、行业标准、地方标准等，创建行业质量标杆企业，支持企业开展发明专利研发布局。支持企业联合高校、科研院所以及产业链上、下游企业组建省级创新联合体，建设制造业创新中心、工程研究中心、重点实验室、企业技术中心、中试基地等创新平台，打造具有行业影响力的科技成果转化孵化基地。</w:t>
      </w:r>
      <w:r>
        <w:rPr>
          <w:rFonts w:hint="eastAsia" w:ascii="楷体_GB2312" w:hAnsi="Times New Roman" w:eastAsia="楷体_GB2312" w:cs="Times New Roman"/>
          <w:sz w:val="32"/>
          <w:szCs w:val="32"/>
        </w:rPr>
        <w:t>（省科技厅、省发展改革委、省工业和信息化厅、省财政厅、省市场监管局等按职责分工负责）</w:t>
      </w:r>
    </w:p>
    <w:p>
      <w:pPr>
        <w:pStyle w:val="25"/>
        <w:autoSpaceDN w:val="0"/>
        <w:snapToGrid w:val="0"/>
        <w:spacing w:line="600" w:lineRule="exact"/>
        <w:ind w:firstLine="720"/>
        <w:rPr>
          <w:rFonts w:ascii="黑体" w:hAnsi="黑体" w:eastAsia="黑体" w:cs="Times New Roman"/>
          <w:sz w:val="32"/>
          <w:szCs w:val="32"/>
        </w:rPr>
      </w:pPr>
      <w:r>
        <w:rPr>
          <w:rFonts w:hint="eastAsia" w:ascii="黑体" w:hAnsi="黑体" w:eastAsia="黑体" w:cs="Times New Roman"/>
          <w:sz w:val="32"/>
          <w:szCs w:val="32"/>
        </w:rPr>
        <w:t>三、加快实数融合</w:t>
      </w:r>
    </w:p>
    <w:p>
      <w:pPr>
        <w:pStyle w:val="25"/>
        <w:autoSpaceDN w:val="0"/>
        <w:snapToGrid w:val="0"/>
        <w:spacing w:line="600" w:lineRule="exact"/>
        <w:ind w:firstLine="720"/>
        <w:rPr>
          <w:rFonts w:ascii="楷体_GB2312" w:hAnsi="Times New Roman" w:eastAsia="楷体_GB2312" w:cs="Times New Roman"/>
          <w:sz w:val="32"/>
          <w:szCs w:val="32"/>
        </w:rPr>
      </w:pPr>
      <w:r>
        <w:rPr>
          <w:rFonts w:hint="eastAsia" w:ascii="仿宋_GB2312" w:hAnsi="Times New Roman" w:eastAsia="仿宋_GB2312" w:cs="Times New Roman"/>
          <w:sz w:val="32"/>
          <w:szCs w:val="32"/>
        </w:rPr>
        <w:t>支持益阳市创建中小企业数字化转型试点城市，着力构建省市联动、大中小企业融通、重点场景供需适配、公共服务保障有力的中小企业数字化转型生态。将益阳市高端电子元器件纳入省大规模设备更新和消费品以旧换新政策的重点支持领域。支持益阳市“</w:t>
      </w:r>
      <w:r>
        <w:rPr>
          <w:rFonts w:hint="eastAsia" w:ascii="仿宋_GB2312" w:hAnsi="仿宋" w:eastAsia="仿宋_GB2312" w:cs="Times New Roman"/>
          <w:sz w:val="32"/>
          <w:szCs w:val="32"/>
        </w:rPr>
        <w:t>双千兆</w:t>
      </w:r>
      <w:r>
        <w:rPr>
          <w:rFonts w:hint="eastAsia" w:ascii="仿宋_GB2312" w:hAnsi="Times New Roman" w:eastAsia="仿宋_GB2312" w:cs="Times New Roman"/>
          <w:sz w:val="32"/>
          <w:szCs w:val="32"/>
        </w:rPr>
        <w:t>”</w:t>
      </w:r>
      <w:r>
        <w:rPr>
          <w:rFonts w:hint="eastAsia" w:ascii="仿宋_GB2312" w:hAnsi="仿宋" w:eastAsia="仿宋_GB2312" w:cs="Times New Roman"/>
          <w:sz w:val="32"/>
          <w:szCs w:val="32"/>
        </w:rPr>
        <w:t>网络协同发展，推进</w:t>
      </w:r>
      <w:r>
        <w:rPr>
          <w:rFonts w:hint="eastAsia" w:ascii="仿宋_GB2312" w:hAnsi="Times New Roman" w:eastAsia="仿宋_GB2312" w:cs="Times New Roman"/>
          <w:sz w:val="32"/>
          <w:szCs w:val="32"/>
        </w:rPr>
        <w:t>“</w:t>
      </w:r>
      <w:r>
        <w:rPr>
          <w:rFonts w:hint="eastAsia" w:ascii="仿宋_GB2312" w:hAnsi="仿宋" w:eastAsia="仿宋_GB2312" w:cs="Times New Roman"/>
          <w:sz w:val="32"/>
          <w:szCs w:val="32"/>
        </w:rPr>
        <w:t>千兆普及、万兆启航</w:t>
      </w:r>
      <w:r>
        <w:rPr>
          <w:rFonts w:hint="eastAsia" w:ascii="仿宋_GB2312" w:hAnsi="Times New Roman" w:eastAsia="仿宋_GB2312" w:cs="Times New Roman"/>
          <w:sz w:val="32"/>
          <w:szCs w:val="32"/>
        </w:rPr>
        <w:t>”</w:t>
      </w:r>
      <w:r>
        <w:rPr>
          <w:rFonts w:hint="eastAsia" w:ascii="仿宋_GB2312" w:hAnsi="仿宋" w:eastAsia="仿宋_GB2312" w:cs="Times New Roman"/>
          <w:sz w:val="32"/>
          <w:szCs w:val="32"/>
        </w:rPr>
        <w:t>，优化提升通信网络、算力中心、工业互联网平台等新型基础设施。支持创建智能制造工位、生产线（车间）和企业，打造一批智能制造标杆企业和车间。</w:t>
      </w:r>
      <w:r>
        <w:rPr>
          <w:rFonts w:hint="eastAsia" w:ascii="楷体_GB2312" w:hAnsi="Times New Roman" w:eastAsia="楷体_GB2312" w:cs="Times New Roman"/>
          <w:sz w:val="32"/>
          <w:szCs w:val="32"/>
        </w:rPr>
        <w:t>（省工业和信息化厅、省通信管理局等按职责分工负责）</w:t>
      </w:r>
    </w:p>
    <w:p>
      <w:pPr>
        <w:pStyle w:val="25"/>
        <w:autoSpaceDN w:val="0"/>
        <w:snapToGrid w:val="0"/>
        <w:spacing w:line="600" w:lineRule="exact"/>
        <w:ind w:firstLine="720"/>
        <w:rPr>
          <w:rFonts w:ascii="黑体" w:hAnsi="黑体" w:eastAsia="黑体" w:cs="Times New Roman"/>
          <w:sz w:val="32"/>
          <w:szCs w:val="32"/>
        </w:rPr>
      </w:pPr>
      <w:r>
        <w:rPr>
          <w:rFonts w:hint="eastAsia" w:ascii="黑体" w:hAnsi="黑体" w:eastAsia="黑体" w:cs="Times New Roman"/>
          <w:sz w:val="32"/>
          <w:szCs w:val="32"/>
        </w:rPr>
        <w:t>四、推动绿色发展</w:t>
      </w:r>
    </w:p>
    <w:p>
      <w:pPr>
        <w:pStyle w:val="25"/>
        <w:autoSpaceDN w:val="0"/>
        <w:snapToGrid w:val="0"/>
        <w:spacing w:line="600" w:lineRule="exact"/>
        <w:ind w:firstLine="720"/>
        <w:rPr>
          <w:rFonts w:ascii="仿宋_GB2312" w:hAnsi="Times New Roman" w:eastAsia="仿宋_GB2312" w:cs="Times New Roman"/>
          <w:sz w:val="32"/>
          <w:szCs w:val="32"/>
        </w:rPr>
      </w:pPr>
      <w:r>
        <w:rPr>
          <w:rFonts w:hint="eastAsia" w:ascii="仿宋_GB2312" w:hAnsi="Times New Roman" w:eastAsia="仿宋_GB2312" w:cs="Times New Roman"/>
          <w:sz w:val="32"/>
          <w:szCs w:val="32"/>
        </w:rPr>
        <w:t>鼓励企业对标国家标杆水平，加大节能环保投入，开展节能减煤节能降碳技术改造，采用信息化、智能化技术处理污染物，培育建设一批绿色工厂。鼓励企业开展产品全生命周期的绿色化设计，加快</w:t>
      </w:r>
      <w:r>
        <w:rPr>
          <w:rFonts w:hint="eastAsia" w:ascii="仿宋_GB2312" w:hAnsi="仿宋" w:eastAsia="仿宋_GB2312"/>
          <w:sz w:val="32"/>
          <w:szCs w:val="32"/>
        </w:rPr>
        <w:t>发展</w:t>
      </w:r>
      <w:r>
        <w:rPr>
          <w:rFonts w:hint="eastAsia" w:ascii="仿宋_GB2312" w:hAnsi="Times New Roman" w:eastAsia="仿宋_GB2312" w:cs="Times New Roman"/>
          <w:sz w:val="32"/>
          <w:szCs w:val="32"/>
        </w:rPr>
        <w:t>轻量化、模块化、集成化、高可靠、长寿命、易回收的新型电子元器件产品。支持企业搭建绿色供应链，优先采购上游绿色产品。</w:t>
      </w:r>
      <w:r>
        <w:rPr>
          <w:rFonts w:hint="eastAsia" w:ascii="楷体_GB2312" w:hAnsi="Times New Roman" w:eastAsia="楷体_GB2312" w:cs="Times New Roman"/>
          <w:sz w:val="32"/>
          <w:szCs w:val="32"/>
        </w:rPr>
        <w:t>（省发展改革委、省生态环境厅、省工业和信息化厅等按职责分工负责）</w:t>
      </w:r>
    </w:p>
    <w:p>
      <w:pPr>
        <w:pStyle w:val="25"/>
        <w:autoSpaceDN w:val="0"/>
        <w:snapToGrid w:val="0"/>
        <w:spacing w:line="600" w:lineRule="exact"/>
        <w:ind w:firstLine="720"/>
        <w:rPr>
          <w:rFonts w:ascii="黑体" w:hAnsi="黑体" w:eastAsia="黑体" w:cs="Times New Roman"/>
          <w:sz w:val="32"/>
          <w:szCs w:val="32"/>
        </w:rPr>
      </w:pPr>
      <w:r>
        <w:rPr>
          <w:rFonts w:hint="eastAsia" w:ascii="黑体" w:hAnsi="黑体" w:eastAsia="黑体" w:cs="Times New Roman"/>
          <w:sz w:val="32"/>
          <w:szCs w:val="32"/>
        </w:rPr>
        <w:t>五、壮大产业主体</w:t>
      </w:r>
    </w:p>
    <w:p>
      <w:pPr>
        <w:pStyle w:val="25"/>
        <w:autoSpaceDN w:val="0"/>
        <w:snapToGrid w:val="0"/>
        <w:spacing w:line="600" w:lineRule="exact"/>
        <w:ind w:firstLine="720"/>
        <w:rPr>
          <w:rFonts w:ascii="楷体_GB2312" w:hAnsi="Times New Roman" w:eastAsia="楷体_GB2312" w:cs="Times New Roman"/>
          <w:sz w:val="32"/>
          <w:szCs w:val="32"/>
        </w:rPr>
      </w:pPr>
      <w:r>
        <w:rPr>
          <w:rFonts w:hint="eastAsia" w:ascii="仿宋_GB2312" w:hAnsi="Times New Roman" w:eastAsia="仿宋_GB2312" w:cs="Times New Roman"/>
          <w:sz w:val="32"/>
          <w:szCs w:val="32"/>
        </w:rPr>
        <w:t>支持益阳市加快培育高端电子元器件产业龙头企业，引导企业瞄准单项冠军、专精特新等方向发展，拓展中间品贸易。支持益阳市高频次多平台宣传推介高端电子元器件产业，支持更多高端电子元器件制造项目申报省级重点招商引资项目。建立省级层面产业合作协调机制，支持企业进入“</w:t>
      </w:r>
      <w:r>
        <w:rPr>
          <w:rFonts w:hint="eastAsia" w:ascii="仿宋_GB2312" w:hAnsi="仿宋" w:eastAsia="仿宋_GB2312" w:cs="Times New Roman"/>
          <w:sz w:val="32"/>
          <w:szCs w:val="32"/>
        </w:rPr>
        <w:t>三类</w:t>
      </w:r>
      <w:r>
        <w:rPr>
          <w:rFonts w:hint="eastAsia" w:ascii="仿宋_GB2312" w:hAnsi="Times New Roman" w:eastAsia="仿宋_GB2312" w:cs="Times New Roman"/>
          <w:sz w:val="32"/>
          <w:szCs w:val="32"/>
        </w:rPr>
        <w:t>500</w:t>
      </w:r>
      <w:r>
        <w:rPr>
          <w:rFonts w:hint="eastAsia" w:ascii="仿宋_GB2312" w:hAnsi="仿宋" w:eastAsia="仿宋_GB2312" w:cs="Times New Roman"/>
          <w:sz w:val="32"/>
          <w:szCs w:val="32"/>
        </w:rPr>
        <w:t>强</w:t>
      </w:r>
      <w:r>
        <w:rPr>
          <w:rFonts w:hint="eastAsia" w:ascii="仿宋_GB2312" w:hAnsi="Times New Roman" w:eastAsia="仿宋_GB2312" w:cs="Times New Roman"/>
          <w:sz w:val="32"/>
          <w:szCs w:val="32"/>
        </w:rPr>
        <w:t>”</w:t>
      </w:r>
      <w:r>
        <w:rPr>
          <w:rFonts w:hint="eastAsia" w:ascii="仿宋_GB2312" w:hAnsi="仿宋" w:eastAsia="仿宋_GB2312" w:cs="Times New Roman"/>
          <w:sz w:val="32"/>
          <w:szCs w:val="32"/>
        </w:rPr>
        <w:t>企业供应链。</w:t>
      </w:r>
      <w:r>
        <w:rPr>
          <w:rFonts w:hint="eastAsia" w:ascii="仿宋_GB2312" w:hAnsi="Times New Roman" w:eastAsia="仿宋_GB2312" w:cs="Times New Roman"/>
          <w:sz w:val="32"/>
          <w:szCs w:val="32"/>
        </w:rPr>
        <w:t>加大对益阳市财源建设转移支付力度。</w:t>
      </w:r>
      <w:r>
        <w:rPr>
          <w:rFonts w:hint="eastAsia" w:ascii="楷体_GB2312" w:hAnsi="Times New Roman" w:eastAsia="楷体_GB2312" w:cs="Times New Roman"/>
          <w:sz w:val="32"/>
          <w:szCs w:val="32"/>
        </w:rPr>
        <w:t>（省工业和信息化厅、省商务厅、省财政厅等按职责分工负责）</w:t>
      </w:r>
    </w:p>
    <w:p>
      <w:pPr>
        <w:pStyle w:val="25"/>
        <w:autoSpaceDN w:val="0"/>
        <w:snapToGrid w:val="0"/>
        <w:spacing w:line="600" w:lineRule="exact"/>
        <w:ind w:firstLine="720"/>
        <w:rPr>
          <w:rFonts w:ascii="黑体" w:hAnsi="黑体" w:eastAsia="黑体" w:cs="Times New Roman"/>
          <w:sz w:val="32"/>
          <w:szCs w:val="32"/>
        </w:rPr>
      </w:pPr>
      <w:r>
        <w:rPr>
          <w:rFonts w:hint="eastAsia" w:ascii="黑体" w:hAnsi="黑体" w:eastAsia="黑体" w:cs="Times New Roman"/>
          <w:sz w:val="32"/>
          <w:szCs w:val="32"/>
        </w:rPr>
        <w:t>六、强化人才引育</w:t>
      </w:r>
    </w:p>
    <w:p>
      <w:pPr>
        <w:pStyle w:val="25"/>
        <w:autoSpaceDN w:val="0"/>
        <w:snapToGrid w:val="0"/>
        <w:spacing w:line="600" w:lineRule="exact"/>
        <w:ind w:firstLine="720"/>
        <w:rPr>
          <w:rFonts w:ascii="楷体_GB2312" w:hAnsi="Times New Roman" w:eastAsia="楷体_GB2312" w:cs="Times New Roman"/>
          <w:sz w:val="32"/>
          <w:szCs w:val="32"/>
        </w:rPr>
      </w:pPr>
      <w:r>
        <w:rPr>
          <w:rFonts w:hint="eastAsia" w:ascii="仿宋_GB2312" w:hAnsi="Times New Roman" w:eastAsia="仿宋_GB2312" w:cs="Times New Roman"/>
          <w:sz w:val="32"/>
          <w:szCs w:val="32"/>
        </w:rPr>
        <w:t>支持企业、高校引进两院院士、国家级科技领军人才，符合条件的可按“</w:t>
      </w:r>
      <w:r>
        <w:rPr>
          <w:rFonts w:hint="eastAsia" w:ascii="仿宋_GB2312" w:hAnsi="仿宋" w:eastAsia="仿宋_GB2312" w:cs="Times New Roman"/>
          <w:sz w:val="32"/>
          <w:szCs w:val="32"/>
        </w:rPr>
        <w:t>一事一议</w:t>
      </w:r>
      <w:r>
        <w:rPr>
          <w:rFonts w:hint="eastAsia" w:ascii="仿宋_GB2312" w:hAnsi="Times New Roman" w:eastAsia="仿宋_GB2312" w:cs="Times New Roman"/>
          <w:sz w:val="32"/>
          <w:szCs w:val="32"/>
        </w:rPr>
        <w:t>”</w:t>
      </w:r>
      <w:r>
        <w:rPr>
          <w:rFonts w:hint="eastAsia" w:ascii="仿宋_GB2312" w:hAnsi="仿宋" w:eastAsia="仿宋_GB2312" w:cs="Times New Roman"/>
          <w:sz w:val="32"/>
          <w:szCs w:val="32"/>
        </w:rPr>
        <w:t>原则给予综合支持。支持益阳</w:t>
      </w:r>
      <w:r>
        <w:rPr>
          <w:rFonts w:hint="eastAsia" w:ascii="仿宋_GB2312" w:hAnsi="Times New Roman" w:eastAsia="仿宋_GB2312" w:cs="Times New Roman"/>
          <w:sz w:val="32"/>
          <w:szCs w:val="32"/>
        </w:rPr>
        <w:t>市引育产业发展亟需的企业经营管理人才、大国工匠、卓越工程师、青年科技人才等。支持湖南城市学院、益阳职业技术学院等院校开设高端电子元器件相关专业，并与企业联合创建实训基地，创新开办产业工人学历班。支持益阳市高端电子元器件企业开展“</w:t>
      </w:r>
      <w:r>
        <w:rPr>
          <w:rFonts w:hint="eastAsia" w:ascii="仿宋_GB2312" w:hAnsi="仿宋" w:eastAsia="仿宋_GB2312" w:cs="Times New Roman"/>
          <w:sz w:val="32"/>
          <w:szCs w:val="32"/>
        </w:rPr>
        <w:t>新八级工</w:t>
      </w:r>
      <w:r>
        <w:rPr>
          <w:rFonts w:hint="eastAsia" w:ascii="仿宋_GB2312" w:hAnsi="Times New Roman" w:eastAsia="仿宋_GB2312" w:cs="Times New Roman"/>
          <w:sz w:val="32"/>
          <w:szCs w:val="32"/>
        </w:rPr>
        <w:t>”</w:t>
      </w:r>
      <w:r>
        <w:rPr>
          <w:rFonts w:hint="eastAsia" w:ascii="仿宋_GB2312" w:hAnsi="仿宋" w:eastAsia="仿宋_GB2312" w:cs="Times New Roman"/>
          <w:sz w:val="32"/>
          <w:szCs w:val="32"/>
        </w:rPr>
        <w:t>试点，开展特级技师等高技能人才职业技能等级认定工作。支持符合条件的优秀人才和创新团队申报</w:t>
      </w:r>
      <w:r>
        <w:rPr>
          <w:rFonts w:hint="eastAsia" w:ascii="仿宋_GB2312" w:hAnsi="Times New Roman" w:eastAsia="仿宋_GB2312" w:cs="Times New Roman"/>
          <w:sz w:val="32"/>
          <w:szCs w:val="32"/>
        </w:rPr>
        <w:t>“</w:t>
      </w:r>
      <w:r>
        <w:rPr>
          <w:rFonts w:hint="eastAsia" w:ascii="仿宋_GB2312" w:hAnsi="仿宋" w:eastAsia="仿宋_GB2312" w:cs="Times New Roman"/>
          <w:sz w:val="32"/>
          <w:szCs w:val="32"/>
        </w:rPr>
        <w:t>芙蓉计划</w:t>
      </w:r>
      <w:r>
        <w:rPr>
          <w:rFonts w:hint="eastAsia" w:ascii="仿宋_GB2312" w:hAnsi="Times New Roman" w:eastAsia="仿宋_GB2312" w:cs="Times New Roman"/>
          <w:sz w:val="32"/>
          <w:szCs w:val="32"/>
        </w:rPr>
        <w:t>”</w:t>
      </w:r>
      <w:r>
        <w:rPr>
          <w:rFonts w:hint="eastAsia" w:ascii="仿宋_GB2312" w:hAnsi="仿宋" w:eastAsia="仿宋_GB2312" w:cs="Times New Roman"/>
          <w:sz w:val="32"/>
          <w:szCs w:val="32"/>
        </w:rPr>
        <w:t>相关培育项目。</w:t>
      </w:r>
      <w:r>
        <w:rPr>
          <w:rFonts w:hint="eastAsia" w:ascii="楷体_GB2312" w:hAnsi="Times New Roman" w:eastAsia="楷体_GB2312" w:cs="Times New Roman"/>
          <w:sz w:val="32"/>
          <w:szCs w:val="32"/>
        </w:rPr>
        <w:t>（省委组织部、省科技厅、省教育厅、省工业和信息化厅、省财政厅、省人力资源社会保障厅等按职责分工负责）</w:t>
      </w:r>
    </w:p>
    <w:p>
      <w:pPr>
        <w:pStyle w:val="25"/>
        <w:autoSpaceDN w:val="0"/>
        <w:snapToGrid w:val="0"/>
        <w:spacing w:line="600" w:lineRule="exact"/>
        <w:ind w:firstLine="720"/>
        <w:rPr>
          <w:rFonts w:ascii="黑体" w:hAnsi="黑体" w:eastAsia="黑体" w:cs="Times New Roman"/>
          <w:sz w:val="32"/>
          <w:szCs w:val="32"/>
        </w:rPr>
      </w:pPr>
      <w:r>
        <w:rPr>
          <w:rFonts w:hint="eastAsia" w:ascii="黑体" w:hAnsi="黑体" w:eastAsia="黑体" w:cs="Times New Roman"/>
          <w:sz w:val="32"/>
          <w:szCs w:val="32"/>
        </w:rPr>
        <w:t>七、加大金融支持</w:t>
      </w:r>
    </w:p>
    <w:p>
      <w:pPr>
        <w:pStyle w:val="25"/>
        <w:autoSpaceDN w:val="0"/>
        <w:snapToGrid w:val="0"/>
        <w:spacing w:line="600" w:lineRule="exact"/>
        <w:ind w:firstLine="720"/>
        <w:rPr>
          <w:rFonts w:ascii="楷体_GB2312" w:hAnsi="Times New Roman" w:eastAsia="楷体_GB2312" w:cs="Times New Roman"/>
          <w:sz w:val="32"/>
          <w:szCs w:val="32"/>
        </w:rPr>
      </w:pPr>
      <w:r>
        <w:rPr>
          <w:rFonts w:hint="eastAsia" w:ascii="仿宋_GB2312" w:hAnsi="Times New Roman" w:eastAsia="仿宋_GB2312" w:cs="Times New Roman"/>
          <w:sz w:val="32"/>
          <w:szCs w:val="32"/>
        </w:rPr>
        <w:t>在申报中央预算内投资和省预算内基本建设投资、先进制造业高地建设、中小企业发展等专项资金时，对益阳市高端电子元器件所在园区和企业符合条件的项目给予扶持。重点支持符合条件的益阳市高端电子元器件所在园区的配套基础设施项目申报超长期特别国债、地方政府专项债券资金。支持益阳市探索成立高端电子元器件产业投资基金，</w:t>
      </w:r>
      <w:r>
        <w:rPr>
          <w:rFonts w:hint="eastAsia" w:ascii="仿宋_GB2312" w:hAnsi="仿宋" w:eastAsia="仿宋_GB2312"/>
          <w:sz w:val="32"/>
          <w:szCs w:val="32"/>
        </w:rPr>
        <w:t>加大</w:t>
      </w:r>
      <w:r>
        <w:rPr>
          <w:rFonts w:hint="eastAsia" w:ascii="仿宋_GB2312" w:hAnsi="Times New Roman" w:eastAsia="仿宋_GB2312" w:cs="Times New Roman"/>
          <w:sz w:val="32"/>
          <w:szCs w:val="32"/>
        </w:rPr>
        <w:t>金芙蓉投资基金对益阳市高端电子元器件产业的支持</w:t>
      </w:r>
      <w:r>
        <w:rPr>
          <w:rFonts w:hint="eastAsia" w:ascii="仿宋_GB2312" w:hAnsi="仿宋" w:eastAsia="仿宋_GB2312"/>
          <w:sz w:val="32"/>
          <w:szCs w:val="32"/>
        </w:rPr>
        <w:t>。支持企业上市融资，促进上市公司高质量发展。加大资本市场改革创新政策宣传，支持企业发行科创债等创新债券。常态化组织银企对接，</w:t>
      </w:r>
      <w:r>
        <w:rPr>
          <w:rFonts w:hint="eastAsia" w:ascii="仿宋_GB2312" w:hAnsi="Times New Roman" w:eastAsia="仿宋_GB2312" w:cs="Times New Roman"/>
          <w:sz w:val="32"/>
          <w:szCs w:val="32"/>
        </w:rPr>
        <w:t>用好科技创新和技术改造再贷款等结构性货币政策工具，引导金融机构优化授信审批流程，创新特色信贷产品，加大对高端电子元器件企业的信贷支持力度。</w:t>
      </w:r>
      <w:r>
        <w:rPr>
          <w:rFonts w:hint="eastAsia" w:ascii="楷体_GB2312" w:hAnsi="Times New Roman" w:eastAsia="楷体_GB2312" w:cs="Times New Roman"/>
          <w:sz w:val="32"/>
          <w:szCs w:val="32"/>
        </w:rPr>
        <w:t>（省财政厅、省发展改革委、省科技厅、省工业和信息化厅、省委金融办、人民银行湖南省分行、湖南金融监管局、湖南证监局等按职责分工负责）</w:t>
      </w:r>
    </w:p>
    <w:p>
      <w:pPr>
        <w:pStyle w:val="25"/>
        <w:autoSpaceDN w:val="0"/>
        <w:snapToGrid w:val="0"/>
        <w:spacing w:line="600" w:lineRule="exact"/>
        <w:ind w:firstLine="720"/>
        <w:rPr>
          <w:rFonts w:ascii="黑体" w:hAnsi="黑体" w:eastAsia="黑体" w:cs="Times New Roman"/>
          <w:sz w:val="32"/>
          <w:szCs w:val="32"/>
        </w:rPr>
      </w:pPr>
      <w:r>
        <w:rPr>
          <w:rFonts w:hint="eastAsia" w:ascii="黑体" w:hAnsi="黑体" w:eastAsia="黑体" w:cs="Times New Roman"/>
          <w:sz w:val="32"/>
          <w:szCs w:val="32"/>
        </w:rPr>
        <w:t>八、加强要素保障</w:t>
      </w:r>
    </w:p>
    <w:p>
      <w:pPr>
        <w:pStyle w:val="25"/>
        <w:autoSpaceDN w:val="0"/>
        <w:snapToGrid w:val="0"/>
        <w:spacing w:line="600" w:lineRule="exact"/>
        <w:ind w:firstLine="720"/>
        <w:rPr>
          <w:rFonts w:ascii="楷体_GB2312" w:hAnsi="Times New Roman" w:eastAsia="楷体_GB2312" w:cs="Times New Roman"/>
          <w:sz w:val="32"/>
          <w:szCs w:val="32"/>
        </w:rPr>
      </w:pPr>
      <w:r>
        <w:rPr>
          <w:rFonts w:hint="eastAsia" w:ascii="仿宋_GB2312" w:hAnsi="Times New Roman" w:eastAsia="仿宋_GB2312" w:cs="Times New Roman"/>
          <w:sz w:val="32"/>
          <w:szCs w:val="32"/>
        </w:rPr>
        <w:t>支持益阳市强化相关政策措施，降低企业用电、用气、用水、用热、用工、用地、污水处理等方面综合成本。支持高端电子元器件企业所在园区在符合扩区条件的情况下，根据产业发展实际扩区。根据市场价格水平调整所在区域基准地价，统筹保障高端电子元器件企业、重点项目用地需求，属于科技创新型重点项目的，可纳入新型产业用地（工业用地）试点范围。支持探索多元化供地模式，推行长期租赁、先租后让、弹性年期出让等多元化工业用地供应方式。支持益阳市相关企业或园区建设虚拟电厂并通过电力市场化交易打造源荷储协同互动模式。支持益阳市高端电子元器件企业按规划技术原则建设220</w:t>
      </w:r>
      <w:r>
        <w:rPr>
          <w:rFonts w:hint="eastAsia" w:ascii="仿宋_GB2312" w:hAnsi="仿宋" w:eastAsia="仿宋_GB2312" w:cs="Times New Roman"/>
          <w:sz w:val="32"/>
          <w:szCs w:val="32"/>
        </w:rPr>
        <w:t>千伏专用变电站；支持通过市场化交易方式购买绿电和可再生能源绿色电力证书</w:t>
      </w:r>
      <w:r>
        <w:rPr>
          <w:rFonts w:hint="eastAsia" w:ascii="仿宋_GB2312" w:hAnsi="Times New Roman" w:eastAsia="仿宋_GB2312" w:cs="Times New Roman"/>
          <w:sz w:val="32"/>
          <w:szCs w:val="32"/>
        </w:rPr>
        <w:t>。推行网上审批、并联审批和投资项目“</w:t>
      </w:r>
      <w:r>
        <w:rPr>
          <w:rFonts w:hint="eastAsia" w:ascii="仿宋_GB2312" w:hAnsi="仿宋" w:eastAsia="仿宋_GB2312" w:cs="Times New Roman"/>
          <w:sz w:val="32"/>
          <w:szCs w:val="32"/>
        </w:rPr>
        <w:t>容缺审查</w:t>
      </w:r>
      <w:r>
        <w:rPr>
          <w:rFonts w:hint="eastAsia" w:ascii="仿宋_GB2312" w:hAnsi="Times New Roman" w:eastAsia="仿宋_GB2312" w:cs="Times New Roman"/>
          <w:sz w:val="32"/>
          <w:szCs w:val="32"/>
        </w:rPr>
        <w:t>+</w:t>
      </w:r>
      <w:r>
        <w:rPr>
          <w:rFonts w:hint="eastAsia" w:ascii="仿宋_GB2312" w:hAnsi="仿宋" w:eastAsia="仿宋_GB2312" w:cs="Times New Roman"/>
          <w:sz w:val="32"/>
          <w:szCs w:val="32"/>
        </w:rPr>
        <w:t>承诺制</w:t>
      </w:r>
      <w:r>
        <w:rPr>
          <w:rFonts w:hint="eastAsia" w:ascii="仿宋_GB2312" w:hAnsi="Times New Roman" w:eastAsia="仿宋_GB2312" w:cs="Times New Roman"/>
          <w:sz w:val="32"/>
          <w:szCs w:val="32"/>
        </w:rPr>
        <w:t>”</w:t>
      </w:r>
      <w:r>
        <w:rPr>
          <w:rFonts w:hint="eastAsia" w:ascii="仿宋_GB2312" w:hAnsi="仿宋" w:eastAsia="仿宋_GB2312" w:cs="Times New Roman"/>
          <w:sz w:val="32"/>
          <w:szCs w:val="32"/>
        </w:rPr>
        <w:t>，推动园区规划环评与项目环评联动，加快安全生产</w:t>
      </w:r>
      <w:r>
        <w:rPr>
          <w:rFonts w:hint="eastAsia" w:ascii="仿宋_GB2312" w:hAnsi="Times New Roman" w:eastAsia="仿宋_GB2312" w:cs="Times New Roman"/>
          <w:sz w:val="32"/>
          <w:szCs w:val="32"/>
        </w:rPr>
        <w:t>“</w:t>
      </w:r>
      <w:r>
        <w:rPr>
          <w:rFonts w:hint="eastAsia" w:ascii="仿宋_GB2312" w:hAnsi="仿宋" w:eastAsia="仿宋_GB2312" w:cs="Times New Roman"/>
          <w:sz w:val="32"/>
          <w:szCs w:val="32"/>
        </w:rPr>
        <w:t>三同时</w:t>
      </w:r>
      <w:r>
        <w:rPr>
          <w:rFonts w:hint="eastAsia" w:ascii="仿宋_GB2312" w:hAnsi="Times New Roman" w:eastAsia="仿宋_GB2312" w:cs="Times New Roman"/>
          <w:sz w:val="32"/>
          <w:szCs w:val="32"/>
        </w:rPr>
        <w:t>”</w:t>
      </w:r>
      <w:r>
        <w:rPr>
          <w:rFonts w:hint="eastAsia" w:ascii="仿宋_GB2312" w:hAnsi="仿宋" w:eastAsia="仿宋_GB2312" w:cs="Times New Roman"/>
          <w:sz w:val="32"/>
          <w:szCs w:val="32"/>
        </w:rPr>
        <w:t>审查手续办理速度。</w:t>
      </w:r>
      <w:r>
        <w:rPr>
          <w:rFonts w:hint="eastAsia" w:ascii="楷体_GB2312" w:hAnsi="Times New Roman" w:eastAsia="楷体_GB2312" w:cs="Times New Roman"/>
          <w:sz w:val="32"/>
          <w:szCs w:val="32"/>
        </w:rPr>
        <w:t>（省发展改革委、省工业和信息化厅、省自然资源厅、省生态环境厅、省应急管理厅、省住房城乡建设厅、省能源局、国网湖南省电力有限公司、益阳市人民政府等按职责分工负责）</w:t>
      </w:r>
    </w:p>
    <w:p>
      <w:pPr>
        <w:pStyle w:val="25"/>
        <w:autoSpaceDN w:val="0"/>
        <w:snapToGrid w:val="0"/>
        <w:spacing w:line="600" w:lineRule="exact"/>
        <w:ind w:firstLine="720"/>
        <w:rPr>
          <w:rFonts w:ascii="黑体" w:hAnsi="黑体" w:eastAsia="黑体" w:cs="Times New Roman"/>
          <w:sz w:val="32"/>
          <w:szCs w:val="32"/>
        </w:rPr>
      </w:pPr>
      <w:r>
        <w:rPr>
          <w:rFonts w:hint="eastAsia" w:ascii="黑体" w:hAnsi="黑体" w:eastAsia="黑体" w:cs="Times New Roman"/>
          <w:sz w:val="32"/>
          <w:szCs w:val="32"/>
        </w:rPr>
        <w:t>九、强化组织保障</w:t>
      </w:r>
    </w:p>
    <w:p>
      <w:pPr>
        <w:pStyle w:val="25"/>
        <w:autoSpaceDN w:val="0"/>
        <w:snapToGrid w:val="0"/>
        <w:spacing w:line="600" w:lineRule="exact"/>
        <w:ind w:firstLine="720"/>
        <w:rPr>
          <w:rFonts w:ascii="仿宋_GB2312" w:hAnsi="Times New Roman" w:eastAsia="仿宋_GB2312" w:cs="Times New Roman"/>
          <w:sz w:val="32"/>
          <w:szCs w:val="32"/>
        </w:rPr>
      </w:pPr>
      <w:r>
        <w:rPr>
          <w:rFonts w:hint="eastAsia" w:ascii="仿宋_GB2312" w:hAnsi="Times New Roman" w:eastAsia="仿宋_GB2312" w:cs="Times New Roman"/>
          <w:sz w:val="32"/>
          <w:szCs w:val="32"/>
        </w:rPr>
        <w:t>建立支持益阳市高端电子元器件产业高质量发展协调机制，统筹协调高端电子元器件产业发展中的重大问题。益阳市要履行主体责任，加强领导、整合资源、加大投入，统筹发展和安全，严守生态安全、生产安全、科技安全等底线，完善配套政策，建立健全相应工作机制，积极推动落实。</w:t>
      </w:r>
    </w:p>
    <w:p>
      <w:pPr>
        <w:pStyle w:val="25"/>
        <w:autoSpaceDN w:val="0"/>
        <w:snapToGrid w:val="0"/>
        <w:spacing w:line="600" w:lineRule="exact"/>
        <w:ind w:firstLine="72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本政策措施自发布之日起实施,有效期五年。</w:t>
      </w:r>
      <w:bookmarkStart w:id="0" w:name="_GoBack"/>
      <w:bookmarkEnd w:id="0"/>
    </w:p>
    <w:sectPr>
      <w:footerReference r:id="rId3" w:type="default"/>
      <w:pgSz w:w="11906" w:h="16838"/>
      <w:pgMar w:top="1701" w:right="1417" w:bottom="1417" w:left="1417" w:header="851" w:footer="992" w:gutter="0"/>
      <w:cols w:space="720" w:num="1"/>
      <w:docGrid w:type="lines" w:linePitch="75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文本框 1" o:spid="_x0000_s1030"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8"/>
                  <w:ind w:left="320" w:leftChars="100" w:right="320" w:right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Pr>
                    <w:rFonts w:eastAsia="仿宋_GB2312"/>
                    <w:sz w:val="28"/>
                    <w:szCs w:val="28"/>
                  </w:rPr>
                  <w:t>6</w:t>
                </w:r>
                <w:r>
                  <w:rPr>
                    <w:rFonts w:eastAsia="仿宋_GB2312"/>
                    <w:sz w:val="28"/>
                    <w:szCs w:val="28"/>
                  </w:rPr>
                  <w:fldChar w:fldCharType="end"/>
                </w:r>
                <w:r>
                  <w:rPr>
                    <w:rFonts w:hint="eastAsia" w:ascii="仿宋_GB2312" w:hAnsi="仿宋_GB2312" w:eastAsia="仿宋_GB2312" w:cs="仿宋_GB2312"/>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BEDD658A"/>
    <w:rsid w:val="000E5DC5"/>
    <w:rsid w:val="00110D55"/>
    <w:rsid w:val="001961EE"/>
    <w:rsid w:val="001B761B"/>
    <w:rsid w:val="001D6CC0"/>
    <w:rsid w:val="00272B8D"/>
    <w:rsid w:val="002C0719"/>
    <w:rsid w:val="00327837"/>
    <w:rsid w:val="003C71E3"/>
    <w:rsid w:val="00484E4D"/>
    <w:rsid w:val="00560C14"/>
    <w:rsid w:val="005778E2"/>
    <w:rsid w:val="005925CB"/>
    <w:rsid w:val="00610D55"/>
    <w:rsid w:val="00626139"/>
    <w:rsid w:val="00716201"/>
    <w:rsid w:val="007741EC"/>
    <w:rsid w:val="0089673C"/>
    <w:rsid w:val="00A45A6A"/>
    <w:rsid w:val="00BE664C"/>
    <w:rsid w:val="00E13E41"/>
    <w:rsid w:val="00E15050"/>
    <w:rsid w:val="00E4235C"/>
    <w:rsid w:val="00E53FF8"/>
    <w:rsid w:val="17DF97A6"/>
    <w:rsid w:val="3E7D568A"/>
    <w:rsid w:val="487D6FCF"/>
    <w:rsid w:val="566F312E"/>
    <w:rsid w:val="57FD5824"/>
    <w:rsid w:val="5FB9CBD4"/>
    <w:rsid w:val="6ABF046B"/>
    <w:rsid w:val="6EDF2681"/>
    <w:rsid w:val="74FFF138"/>
    <w:rsid w:val="7AFD70B7"/>
    <w:rsid w:val="7FC261C6"/>
    <w:rsid w:val="7FFEEF4B"/>
    <w:rsid w:val="95B57ADB"/>
    <w:rsid w:val="AB3BEFD4"/>
    <w:rsid w:val="AB3D06D9"/>
    <w:rsid w:val="BBFE7950"/>
    <w:rsid w:val="BE77EC96"/>
    <w:rsid w:val="BEDD658A"/>
    <w:rsid w:val="BF7C5237"/>
    <w:rsid w:val="EAFEB8C8"/>
    <w:rsid w:val="EBFC5D08"/>
    <w:rsid w:val="EDF7A1D3"/>
    <w:rsid w:val="F5F66068"/>
    <w:rsid w:val="F6762996"/>
    <w:rsid w:val="FBBBBA2D"/>
    <w:rsid w:val="FBDFAA8F"/>
    <w:rsid w:val="FEDF7351"/>
    <w:rsid w:val="FF6FE9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4">
    <w:name w:val="heading 1"/>
    <w:basedOn w:val="1"/>
    <w:next w:val="1"/>
    <w:qFormat/>
    <w:uiPriority w:val="0"/>
    <w:pPr>
      <w:keepNext/>
      <w:keepLines/>
      <w:spacing w:line="596" w:lineRule="exact"/>
      <w:jc w:val="center"/>
      <w:outlineLvl w:val="0"/>
    </w:pPr>
    <w:rPr>
      <w:rFonts w:ascii="Calibri" w:hAnsi="Calibri" w:eastAsia="方正小标宋_GBK"/>
      <w:kern w:val="44"/>
      <w:sz w:val="44"/>
    </w:rPr>
  </w:style>
  <w:style w:type="paragraph" w:styleId="5">
    <w:name w:val="heading 2"/>
    <w:basedOn w:val="1"/>
    <w:next w:val="1"/>
    <w:link w:val="21"/>
    <w:unhideWhenUsed/>
    <w:qFormat/>
    <w:uiPriority w:val="0"/>
    <w:pPr>
      <w:keepNext/>
      <w:keepLines/>
      <w:adjustRightInd w:val="0"/>
      <w:snapToGrid w:val="0"/>
      <w:spacing w:line="596" w:lineRule="exact"/>
      <w:ind w:firstLine="640" w:firstLineChars="200"/>
      <w:outlineLvl w:val="1"/>
    </w:pPr>
    <w:rPr>
      <w:rFonts w:ascii="Arial" w:hAnsi="Arial" w:eastAsia="黑体"/>
    </w:rPr>
  </w:style>
  <w:style w:type="paragraph" w:styleId="6">
    <w:name w:val="heading 3"/>
    <w:basedOn w:val="1"/>
    <w:next w:val="1"/>
    <w:unhideWhenUsed/>
    <w:qFormat/>
    <w:uiPriority w:val="0"/>
    <w:pPr>
      <w:keepNext/>
      <w:keepLines/>
      <w:spacing w:line="596" w:lineRule="exact"/>
      <w:outlineLvl w:val="2"/>
    </w:pPr>
    <w:rPr>
      <w:rFonts w:eastAsia="楷体"/>
      <w:bCs/>
    </w:rPr>
  </w:style>
  <w:style w:type="character" w:default="1" w:styleId="13">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qFormat/>
    <w:uiPriority w:val="0"/>
    <w:pPr>
      <w:spacing w:after="120"/>
      <w:ind w:left="200" w:leftChars="200"/>
    </w:pPr>
  </w:style>
  <w:style w:type="paragraph" w:styleId="7">
    <w:name w:val="Body Text Indent 2"/>
    <w:basedOn w:val="1"/>
    <w:qFormat/>
    <w:uiPriority w:val="0"/>
    <w:pPr>
      <w:spacing w:after="120" w:line="480" w:lineRule="auto"/>
      <w:ind w:left="420" w:leftChars="200"/>
    </w:pPr>
  </w:style>
  <w:style w:type="paragraph" w:styleId="8">
    <w:name w:val="footer"/>
    <w:basedOn w:val="1"/>
    <w:link w:val="24"/>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10">
    <w:name w:val="footnote text"/>
    <w:basedOn w:val="1"/>
    <w:qFormat/>
    <w:uiPriority w:val="99"/>
    <w:pPr>
      <w:snapToGrid w:val="0"/>
      <w:jc w:val="left"/>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12">
    <w:name w:val="Normal (Web)"/>
    <w:basedOn w:val="1"/>
    <w:qFormat/>
    <w:uiPriority w:val="0"/>
    <w:pPr>
      <w:spacing w:before="100" w:beforeAutospacing="1" w:after="100" w:afterAutospacing="1"/>
      <w:jc w:val="left"/>
    </w:pPr>
    <w:rPr>
      <w:rFonts w:ascii="Calibri" w:hAnsi="Calibri"/>
      <w:kern w:val="0"/>
      <w:sz w:val="24"/>
    </w:rPr>
  </w:style>
  <w:style w:type="paragraph" w:customStyle="1" w:styleId="15">
    <w:name w:val="2号小标宋"/>
    <w:basedOn w:val="1"/>
    <w:uiPriority w:val="0"/>
    <w:pPr>
      <w:adjustRightInd w:val="0"/>
      <w:snapToGrid w:val="0"/>
      <w:spacing w:line="700" w:lineRule="exact"/>
      <w:jc w:val="center"/>
    </w:pPr>
    <w:rPr>
      <w:rFonts w:ascii="方正小标宋_GBK" w:hAnsi="方正小标宋_GBK" w:eastAsia="方正小标宋_GBK" w:cs="方正小标宋_GBK"/>
      <w:sz w:val="44"/>
      <w:szCs w:val="22"/>
    </w:rPr>
  </w:style>
  <w:style w:type="paragraph" w:customStyle="1" w:styleId="16">
    <w:name w:val="一级标题-3号黑体"/>
    <w:basedOn w:val="1"/>
    <w:next w:val="1"/>
    <w:qFormat/>
    <w:uiPriority w:val="0"/>
    <w:pPr>
      <w:spacing w:line="600" w:lineRule="exact"/>
      <w:ind w:firstLine="880" w:firstLineChars="200"/>
    </w:pPr>
    <w:rPr>
      <w:rFonts w:eastAsia="黑体"/>
      <w:szCs w:val="32"/>
    </w:rPr>
  </w:style>
  <w:style w:type="paragraph" w:customStyle="1" w:styleId="17">
    <w:name w:val="正文-3号仿宋GB"/>
    <w:basedOn w:val="1"/>
    <w:qFormat/>
    <w:uiPriority w:val="0"/>
    <w:pPr>
      <w:adjustRightInd w:val="0"/>
      <w:snapToGrid w:val="0"/>
      <w:spacing w:line="600" w:lineRule="exact"/>
      <w:ind w:firstLine="856" w:firstLineChars="200"/>
    </w:pPr>
    <w:rPr>
      <w:rFonts w:ascii="楷体_GB2312" w:hAnsi="楷体_GB2312" w:eastAsia="仿宋_GB2312" w:cs="仿宋_GB2312"/>
      <w:szCs w:val="32"/>
    </w:rPr>
  </w:style>
  <w:style w:type="paragraph" w:customStyle="1" w:styleId="18">
    <w:name w:val="二级标题-3号楷体GB"/>
    <w:basedOn w:val="1"/>
    <w:next w:val="1"/>
    <w:link w:val="23"/>
    <w:uiPriority w:val="0"/>
    <w:pPr>
      <w:adjustRightInd w:val="0"/>
      <w:snapToGrid w:val="0"/>
      <w:spacing w:line="600" w:lineRule="exact"/>
      <w:ind w:firstLine="636" w:firstLineChars="200"/>
    </w:pPr>
    <w:rPr>
      <w:rFonts w:ascii="楷体_GB2312" w:hAnsi="楷体_GB2312" w:eastAsia="楷体_GB2312" w:cs="楷体_GB2312"/>
      <w:kern w:val="0"/>
      <w:szCs w:val="32"/>
    </w:rPr>
  </w:style>
  <w:style w:type="paragraph" w:customStyle="1" w:styleId="19">
    <w:name w:val="页码-4号仿宋"/>
    <w:basedOn w:val="17"/>
    <w:qFormat/>
    <w:uiPriority w:val="0"/>
    <w:pPr>
      <w:spacing w:line="240" w:lineRule="atLeast"/>
      <w:ind w:left="210" w:leftChars="100" w:right="210" w:rightChars="100" w:firstLine="0" w:firstLineChars="0"/>
    </w:pPr>
    <w:rPr>
      <w:rFonts w:ascii="仿宋_GB2312" w:hAnsi="仿宋_GB2312"/>
      <w:sz w:val="28"/>
      <w:szCs w:val="28"/>
    </w:rPr>
  </w:style>
  <w:style w:type="paragraph" w:customStyle="1" w:styleId="20">
    <w:name w:val="UserStyle_1"/>
    <w:basedOn w:val="1"/>
    <w:qFormat/>
    <w:uiPriority w:val="0"/>
    <w:pPr>
      <w:spacing w:after="120"/>
      <w:textAlignment w:val="baseline"/>
    </w:pPr>
    <w:rPr>
      <w:rFonts w:ascii="Calibri" w:hAnsi="Calibri"/>
      <w:sz w:val="21"/>
      <w:szCs w:val="21"/>
    </w:rPr>
  </w:style>
  <w:style w:type="character" w:customStyle="1" w:styleId="21">
    <w:name w:val="标题 2 Char"/>
    <w:link w:val="5"/>
    <w:qFormat/>
    <w:uiPriority w:val="0"/>
    <w:rPr>
      <w:rFonts w:ascii="Arial" w:hAnsi="Arial" w:eastAsia="黑体" w:cs="Times New Roman"/>
      <w:sz w:val="32"/>
      <w:szCs w:val="24"/>
    </w:rPr>
  </w:style>
  <w:style w:type="character" w:customStyle="1" w:styleId="22">
    <w:name w:val="16"/>
    <w:qFormat/>
    <w:uiPriority w:val="0"/>
    <w:rPr>
      <w:rFonts w:hint="default" w:ascii="Times New Roman" w:hAnsi="Times New Roman" w:eastAsia="宋体" w:cs="Times New Roman"/>
    </w:rPr>
  </w:style>
  <w:style w:type="character" w:customStyle="1" w:styleId="23">
    <w:name w:val="二级标题-3号楷体GB Char1"/>
    <w:link w:val="18"/>
    <w:qFormat/>
    <w:uiPriority w:val="0"/>
    <w:rPr>
      <w:rFonts w:ascii="楷体_GB2312" w:hAnsi="楷体_GB2312" w:eastAsia="楷体_GB2312" w:cs="楷体_GB2312"/>
      <w:sz w:val="32"/>
      <w:szCs w:val="32"/>
    </w:rPr>
  </w:style>
  <w:style w:type="character" w:customStyle="1" w:styleId="24">
    <w:name w:val="页脚 Char"/>
    <w:basedOn w:val="13"/>
    <w:link w:val="8"/>
    <w:uiPriority w:val="0"/>
    <w:rPr>
      <w:rFonts w:eastAsia="方正仿宋_GBK"/>
      <w:kern w:val="2"/>
      <w:sz w:val="18"/>
      <w:szCs w:val="24"/>
    </w:rPr>
  </w:style>
  <w:style w:type="paragraph" w:customStyle="1" w:styleId="25">
    <w:name w:val="p0"/>
    <w:basedOn w:val="1"/>
    <w:uiPriority w:val="0"/>
    <w:pPr>
      <w:widowControl/>
    </w:pPr>
    <w:rPr>
      <w:rFonts w:ascii="Calibri" w:hAnsi="Calibri" w:eastAsia="宋体" w:cs="Calibri"/>
      <w:kern w:val="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2713</Words>
  <Characters>128</Characters>
  <Lines>1</Lines>
  <Paragraphs>5</Paragraphs>
  <TotalTime>13</TotalTime>
  <ScaleCrop>false</ScaleCrop>
  <LinksUpToDate>false</LinksUpToDate>
  <CharactersWithSpaces>2836</CharactersWithSpaces>
  <Application>WPS Office_10.8.0.7113_F1E327BC-269C-435d-A152-05C5408002CA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2025-09-04T16:17:00Z</dcterms:created>
  <dc:creator>Romance</dc:creator>
  <cp:lastModifiedBy>李钟初03</cp:lastModifiedBy>
  <cp:lastPrinted>2025-08-26T11:35:00Z</cp:lastPrinted>
  <dcterms:modified xsi:type="dcterms:W3CDTF">2025-09-25T09:10:00Z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2052-10.8.0.7113</vt:lpwstr>
  </property>
</Properties>
</file>